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68" w:rsidRPr="00504CB2" w:rsidRDefault="005916E2" w:rsidP="00504CB2">
      <w:pPr>
        <w:spacing w:before="120" w:after="120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504CB2">
        <w:rPr>
          <w:rFonts w:cstheme="minorHAnsi"/>
          <w:b/>
          <w:color w:val="000000" w:themeColor="text1"/>
          <w:sz w:val="20"/>
          <w:szCs w:val="20"/>
        </w:rPr>
        <w:t xml:space="preserve">11.SINIF </w:t>
      </w:r>
      <w:r w:rsidR="00966791">
        <w:rPr>
          <w:rFonts w:cstheme="minorHAnsi"/>
          <w:b/>
          <w:color w:val="000000" w:themeColor="text1"/>
          <w:sz w:val="20"/>
          <w:szCs w:val="20"/>
        </w:rPr>
        <w:t xml:space="preserve">EBE YARD. </w:t>
      </w:r>
      <w:bookmarkStart w:id="0" w:name="_GoBack"/>
      <w:bookmarkEnd w:id="0"/>
      <w:r w:rsidRPr="00504CB2">
        <w:rPr>
          <w:rFonts w:cstheme="minorHAnsi"/>
          <w:b/>
          <w:color w:val="000000" w:themeColor="text1"/>
          <w:sz w:val="20"/>
          <w:szCs w:val="20"/>
        </w:rPr>
        <w:t xml:space="preserve">MESLEKİ UYGULAMALAR </w:t>
      </w:r>
      <w:r w:rsidR="00C83A35" w:rsidRPr="00504CB2">
        <w:rPr>
          <w:rFonts w:cstheme="minorHAnsi"/>
          <w:b/>
          <w:color w:val="000000" w:themeColor="text1"/>
          <w:sz w:val="20"/>
          <w:szCs w:val="20"/>
        </w:rPr>
        <w:t xml:space="preserve">DERSİ 1. </w:t>
      </w:r>
      <w:r w:rsidRPr="00504CB2">
        <w:rPr>
          <w:rFonts w:cstheme="minorHAnsi"/>
          <w:b/>
          <w:color w:val="000000" w:themeColor="text1"/>
          <w:sz w:val="20"/>
          <w:szCs w:val="20"/>
        </w:rPr>
        <w:t xml:space="preserve">VE 2. </w:t>
      </w:r>
      <w:r w:rsidR="00C83A35" w:rsidRPr="00504CB2">
        <w:rPr>
          <w:rFonts w:cstheme="minorHAnsi"/>
          <w:b/>
          <w:color w:val="000000" w:themeColor="text1"/>
          <w:sz w:val="20"/>
          <w:szCs w:val="20"/>
        </w:rPr>
        <w:t>DÖNEM KONU SORU DAĞILIM TABLOSU</w:t>
      </w:r>
    </w:p>
    <w:tbl>
      <w:tblPr>
        <w:tblStyle w:val="TabloKlavuzu"/>
        <w:tblW w:w="10472" w:type="dxa"/>
        <w:tblLook w:val="04A0" w:firstRow="1" w:lastRow="0" w:firstColumn="1" w:lastColumn="0" w:noHBand="0" w:noVBand="1"/>
      </w:tblPr>
      <w:tblGrid>
        <w:gridCol w:w="1913"/>
        <w:gridCol w:w="5761"/>
        <w:gridCol w:w="1400"/>
        <w:gridCol w:w="1398"/>
      </w:tblGrid>
      <w:tr w:rsidR="00CD3A7A" w:rsidRPr="00CD3A7A" w:rsidTr="002546AB">
        <w:trPr>
          <w:trHeight w:val="198"/>
        </w:trPr>
        <w:tc>
          <w:tcPr>
            <w:tcW w:w="1913" w:type="dxa"/>
            <w:vMerge w:val="restart"/>
          </w:tcPr>
          <w:p w:rsidR="00C83A35" w:rsidRPr="00CD3A7A" w:rsidRDefault="00C83A35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ÜNİTE</w:t>
            </w:r>
          </w:p>
        </w:tc>
        <w:tc>
          <w:tcPr>
            <w:tcW w:w="5761" w:type="dxa"/>
            <w:vMerge w:val="restart"/>
          </w:tcPr>
          <w:p w:rsidR="00C83A35" w:rsidRPr="00CD3A7A" w:rsidRDefault="00C83A35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KAZANIMLAR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83A35" w:rsidRPr="00CD3A7A" w:rsidRDefault="00C83A35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1.Yazılı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C83A35" w:rsidRPr="00CD3A7A" w:rsidRDefault="00C83A35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2. yazılı</w:t>
            </w:r>
          </w:p>
        </w:tc>
      </w:tr>
      <w:tr w:rsidR="00CD3A7A" w:rsidRPr="00CD3A7A" w:rsidTr="002546AB">
        <w:trPr>
          <w:trHeight w:val="287"/>
        </w:trPr>
        <w:tc>
          <w:tcPr>
            <w:tcW w:w="1913" w:type="dxa"/>
            <w:vMerge/>
          </w:tcPr>
          <w:p w:rsidR="00C83A35" w:rsidRPr="00CD3A7A" w:rsidRDefault="00C83A35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C83A35" w:rsidRPr="00CD3A7A" w:rsidRDefault="00C83A35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C83A35" w:rsidRPr="00CD3A7A" w:rsidRDefault="00C83A35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Okul Geneli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83A35" w:rsidRPr="00CD3A7A" w:rsidRDefault="00C83A35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Okul Geneli</w:t>
            </w:r>
          </w:p>
        </w:tc>
      </w:tr>
      <w:tr w:rsidR="00CD3A7A" w:rsidRPr="00CD3A7A" w:rsidTr="00966791">
        <w:trPr>
          <w:trHeight w:val="458"/>
        </w:trPr>
        <w:tc>
          <w:tcPr>
            <w:tcW w:w="1913" w:type="dxa"/>
            <w:vMerge/>
          </w:tcPr>
          <w:p w:rsidR="00C83A35" w:rsidRPr="00CD3A7A" w:rsidRDefault="00C83A35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vMerge/>
          </w:tcPr>
          <w:p w:rsidR="00C83A35" w:rsidRPr="00CD3A7A" w:rsidRDefault="00C83A35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C83A35" w:rsidRPr="00CD3A7A" w:rsidRDefault="00C83A35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SORU SAYISI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C83A35" w:rsidRPr="00CD3A7A" w:rsidRDefault="00C83A35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SORU SAYISI</w:t>
            </w:r>
          </w:p>
        </w:tc>
      </w:tr>
      <w:tr w:rsidR="00CD3A7A" w:rsidRPr="00CD3A7A" w:rsidTr="00504CB2">
        <w:trPr>
          <w:trHeight w:val="1346"/>
        </w:trPr>
        <w:tc>
          <w:tcPr>
            <w:tcW w:w="1913" w:type="dxa"/>
            <w:vMerge w:val="restart"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1.KADIN HASTALIKLARI MUAYENE YÖNTEMLERİ</w:t>
            </w:r>
          </w:p>
        </w:tc>
        <w:tc>
          <w:tcPr>
            <w:tcW w:w="5761" w:type="dxa"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WHO tanımlamalarına göre kadın hayatının dönemlerini ayırt eder.</w:t>
            </w:r>
          </w:p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WHO ve Sağlık Bakanlığı istatistiklerine göre anne ve çocuk sağlığını etkileyen faktörleri ayırt eder.</w:t>
            </w:r>
          </w:p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Etkili iletişim tekniklerini kullanarak </w:t>
            </w:r>
            <w:proofErr w:type="spellStart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anamnez</w:t>
            </w:r>
            <w:proofErr w:type="spellEnd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 almada ebe/hemşireye yardım eder.</w:t>
            </w:r>
          </w:p>
        </w:tc>
        <w:tc>
          <w:tcPr>
            <w:tcW w:w="1400" w:type="dxa"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98" w:type="dxa"/>
            <w:vMerge w:val="restart"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CD3A7A" w:rsidRPr="00CD3A7A" w:rsidTr="002546AB">
        <w:trPr>
          <w:trHeight w:val="851"/>
        </w:trPr>
        <w:tc>
          <w:tcPr>
            <w:tcW w:w="1913" w:type="dxa"/>
            <w:vMerge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46AB" w:rsidRPr="00CD3A7A" w:rsidRDefault="002546AB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İş sağlığı ve güvenliği tedbirleri doğrultusunda hasta mahremiyetine özen göstererek fizik muayenede ebe/hemşireye yardım eder. </w:t>
            </w:r>
          </w:p>
        </w:tc>
        <w:tc>
          <w:tcPr>
            <w:tcW w:w="1400" w:type="dxa"/>
            <w:vMerge w:val="restart"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98" w:type="dxa"/>
            <w:vMerge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3A7A" w:rsidRPr="00CD3A7A" w:rsidTr="002546AB">
        <w:trPr>
          <w:trHeight w:val="911"/>
        </w:trPr>
        <w:tc>
          <w:tcPr>
            <w:tcW w:w="1913" w:type="dxa"/>
            <w:vMerge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46AB" w:rsidRPr="00CD3A7A" w:rsidRDefault="002546AB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İş sağlığı ve güvenliği tedbirleri doğrultusunda hasta mahremiyetine özen göstererek jinekolojik muayenede sağlık profesyoneline yardım eder. </w:t>
            </w:r>
          </w:p>
        </w:tc>
        <w:tc>
          <w:tcPr>
            <w:tcW w:w="1400" w:type="dxa"/>
            <w:vMerge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3A7A" w:rsidRPr="00CD3A7A" w:rsidTr="002546AB">
        <w:trPr>
          <w:trHeight w:val="1244"/>
        </w:trPr>
        <w:tc>
          <w:tcPr>
            <w:tcW w:w="1913" w:type="dxa"/>
            <w:vMerge w:val="restart"/>
            <w:vAlign w:val="center"/>
          </w:tcPr>
          <w:p w:rsidR="002546AB" w:rsidRPr="00CD3A7A" w:rsidRDefault="002546AB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2. JİNEKOLOJİK HASALIKLAR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46AB" w:rsidRPr="00CD3A7A" w:rsidRDefault="002546AB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Normal </w:t>
            </w:r>
            <w:proofErr w:type="spellStart"/>
            <w:proofErr w:type="gramStart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siklus</w:t>
            </w:r>
            <w:proofErr w:type="spellEnd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  düzenine</w:t>
            </w:r>
            <w:proofErr w:type="gramEnd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 göre </w:t>
            </w:r>
            <w:proofErr w:type="spellStart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menstrüelsiklus</w:t>
            </w:r>
            <w:proofErr w:type="spellEnd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 bozukluklarını ve nedenlerini ayırt eder.</w:t>
            </w:r>
          </w:p>
          <w:p w:rsidR="002546AB" w:rsidRPr="00CD3A7A" w:rsidRDefault="002546AB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Kadın sağlığına olumsuz etkilerinin bilincinde olarak cinsel yolla bulaşan </w:t>
            </w:r>
            <w:proofErr w:type="spellStart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genital</w:t>
            </w:r>
            <w:proofErr w:type="spellEnd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 yol </w:t>
            </w:r>
            <w:proofErr w:type="gramStart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enfeksiyonlarını</w:t>
            </w:r>
            <w:proofErr w:type="gramEnd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 ayırt eder.</w:t>
            </w:r>
          </w:p>
        </w:tc>
        <w:tc>
          <w:tcPr>
            <w:tcW w:w="1400" w:type="dxa"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98" w:type="dxa"/>
            <w:vMerge w:val="restart"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3A7A" w:rsidRPr="00CD3A7A" w:rsidTr="00CD3A7A">
        <w:trPr>
          <w:trHeight w:val="778"/>
        </w:trPr>
        <w:tc>
          <w:tcPr>
            <w:tcW w:w="1913" w:type="dxa"/>
            <w:vMerge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6AB" w:rsidRPr="00CD3A7A" w:rsidRDefault="002546AB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Doğum ve düşük sonrası oluş </w:t>
            </w:r>
            <w:proofErr w:type="spellStart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abilecek</w:t>
            </w:r>
            <w:proofErr w:type="spellEnd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 septik </w:t>
            </w:r>
            <w:proofErr w:type="gramStart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enfeksiyonları</w:t>
            </w:r>
            <w:proofErr w:type="gramEnd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 ayırt eder.</w:t>
            </w:r>
          </w:p>
          <w:p w:rsidR="002546AB" w:rsidRPr="00CD3A7A" w:rsidRDefault="002546AB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Üremenin olmadığı durumları ayırt eder.</w:t>
            </w:r>
          </w:p>
        </w:tc>
        <w:tc>
          <w:tcPr>
            <w:tcW w:w="1400" w:type="dxa"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98" w:type="dxa"/>
            <w:vMerge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D3A7A" w:rsidRPr="00CD3A7A" w:rsidTr="002546AB">
        <w:trPr>
          <w:trHeight w:val="891"/>
        </w:trPr>
        <w:tc>
          <w:tcPr>
            <w:tcW w:w="1913" w:type="dxa"/>
          </w:tcPr>
          <w:p w:rsidR="00107F42" w:rsidRPr="00CD3A7A" w:rsidRDefault="006756C9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  <w:r w:rsidR="00107F42" w:rsidRPr="00CD3A7A">
              <w:rPr>
                <w:rFonts w:cstheme="minorHAnsi"/>
                <w:color w:val="000000" w:themeColor="text1"/>
                <w:sz w:val="20"/>
                <w:szCs w:val="20"/>
              </w:rPr>
              <w:t>AİLE PLANLAMASI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F42" w:rsidRPr="00CD3A7A" w:rsidRDefault="00107F42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2. Ulusal Aile Planlaması Hizmet Rehberi doğrultusunda aile planlaması yöntemlerini ayırt eder.</w:t>
            </w:r>
          </w:p>
        </w:tc>
        <w:tc>
          <w:tcPr>
            <w:tcW w:w="1400" w:type="dxa"/>
          </w:tcPr>
          <w:p w:rsidR="00107F42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07F42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CD3A7A" w:rsidRPr="00CD3A7A" w:rsidTr="00504CB2">
        <w:trPr>
          <w:trHeight w:val="999"/>
        </w:trPr>
        <w:tc>
          <w:tcPr>
            <w:tcW w:w="1913" w:type="dxa"/>
          </w:tcPr>
          <w:p w:rsidR="00107F42" w:rsidRPr="00504CB2" w:rsidRDefault="006756C9" w:rsidP="00504CB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4. KADIN ÜREME SAĞLIĞI, GEBELİK VE FETÜS FİZYOLOJİSİ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6C9" w:rsidRPr="00CD3A7A" w:rsidRDefault="006756C9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Gebelik fizyolojisini ayırt eder.</w:t>
            </w:r>
          </w:p>
          <w:p w:rsidR="006756C9" w:rsidRPr="00CD3A7A" w:rsidRDefault="006756C9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Fetüs fizyolojisini ayırt eder.</w:t>
            </w:r>
          </w:p>
          <w:p w:rsidR="00107F42" w:rsidRPr="00CD3A7A" w:rsidRDefault="00107F42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</w:tcPr>
          <w:p w:rsidR="00107F42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107F42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CD3A7A" w:rsidRPr="00CD3A7A" w:rsidTr="00504CB2">
        <w:trPr>
          <w:trHeight w:val="843"/>
        </w:trPr>
        <w:tc>
          <w:tcPr>
            <w:tcW w:w="1913" w:type="dxa"/>
          </w:tcPr>
          <w:p w:rsidR="00107F42" w:rsidRPr="00CD3A7A" w:rsidRDefault="00504CB2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  <w:r w:rsidR="006756C9"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DOĞUM ÖNCESİ BAKIM 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F42" w:rsidRPr="00CD3A7A" w:rsidRDefault="006756C9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1. İş sağlığı ve güvenliği tedbirlerini alarak Doğum Öncesi Bakım Yönetim Rehberi doğrultusunda sağlıklı bir gebelik süreci için doğum ön</w:t>
            </w:r>
            <w:r w:rsidR="00504CB2">
              <w:rPr>
                <w:rFonts w:cstheme="minorHAnsi"/>
                <w:color w:val="000000" w:themeColor="text1"/>
                <w:sz w:val="20"/>
                <w:szCs w:val="20"/>
              </w:rPr>
              <w:t>cesi bakımda ebeye yardım eder.</w:t>
            </w:r>
          </w:p>
        </w:tc>
        <w:tc>
          <w:tcPr>
            <w:tcW w:w="1400" w:type="dxa"/>
          </w:tcPr>
          <w:p w:rsidR="00107F42" w:rsidRPr="00CD3A7A" w:rsidRDefault="00107F42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</w:tcPr>
          <w:p w:rsidR="00107F42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CD3A7A" w:rsidRPr="00CD3A7A" w:rsidTr="00504CB2">
        <w:trPr>
          <w:trHeight w:val="983"/>
        </w:trPr>
        <w:tc>
          <w:tcPr>
            <w:tcW w:w="1913" w:type="dxa"/>
          </w:tcPr>
          <w:p w:rsidR="00107F42" w:rsidRPr="00504CB2" w:rsidRDefault="002546AB" w:rsidP="00504CB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  <w:r w:rsidR="006756C9" w:rsidRPr="00CD3A7A">
              <w:rPr>
                <w:rFonts w:cstheme="minorHAnsi"/>
                <w:color w:val="000000" w:themeColor="text1"/>
                <w:sz w:val="20"/>
                <w:szCs w:val="20"/>
              </w:rPr>
              <w:t>GEBELİK VE DOĞUMLA İLGİLİ RİSKLİ DURUMLAR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F42" w:rsidRPr="00CD3A7A" w:rsidRDefault="006756C9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2. Doğum öncesi dönemde ortaya çıkan kanamaların doğuracağı olumsuz sonuçların bilincinde olarak doğum öncesi kanamaları</w:t>
            </w:r>
            <w:r w:rsidR="00504CB2">
              <w:rPr>
                <w:rFonts w:cstheme="minorHAnsi"/>
                <w:color w:val="000000" w:themeColor="text1"/>
                <w:sz w:val="20"/>
                <w:szCs w:val="20"/>
              </w:rPr>
              <w:t xml:space="preserve"> ayırt eder.</w:t>
            </w:r>
          </w:p>
        </w:tc>
        <w:tc>
          <w:tcPr>
            <w:tcW w:w="1400" w:type="dxa"/>
          </w:tcPr>
          <w:p w:rsidR="00107F42" w:rsidRPr="00CD3A7A" w:rsidRDefault="00107F42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</w:tcPr>
          <w:p w:rsidR="00107F42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CD3A7A" w:rsidRPr="00CD3A7A" w:rsidTr="002546AB">
        <w:trPr>
          <w:trHeight w:val="1840"/>
        </w:trPr>
        <w:tc>
          <w:tcPr>
            <w:tcW w:w="1913" w:type="dxa"/>
          </w:tcPr>
          <w:p w:rsidR="00107F42" w:rsidRPr="00504CB2" w:rsidRDefault="002546AB" w:rsidP="00504CB2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  <w:r w:rsidR="006756C9" w:rsidRPr="00CD3A7A">
              <w:rPr>
                <w:rFonts w:cstheme="minorHAnsi"/>
                <w:color w:val="000000" w:themeColor="text1"/>
                <w:sz w:val="20"/>
                <w:szCs w:val="20"/>
              </w:rPr>
              <w:t>DOĞUM SALONU VE TRAVAY ODASI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6C9" w:rsidRPr="00CD3A7A" w:rsidRDefault="006756C9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Gebelikte ve doğum esnasında ortaya çıkan riskli durumları ayırt eder.</w:t>
            </w:r>
          </w:p>
          <w:p w:rsidR="00107F42" w:rsidRPr="00CD3A7A" w:rsidRDefault="006756C9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 İş sağlığı ve güvenliği tedbirleri ve kalite yönetim standartları doğrultusunda doğum salonundaki </w:t>
            </w:r>
            <w:proofErr w:type="gramStart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ekipmanların</w:t>
            </w:r>
            <w:proofErr w:type="gramEnd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 temizlik ve kontrolünü yaparak doğum salonunu kullanıma hazır hâle getirir.</w:t>
            </w:r>
          </w:p>
        </w:tc>
        <w:tc>
          <w:tcPr>
            <w:tcW w:w="1400" w:type="dxa"/>
          </w:tcPr>
          <w:p w:rsidR="00107F42" w:rsidRPr="00CD3A7A" w:rsidRDefault="00107F42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</w:tcPr>
          <w:p w:rsidR="00107F42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CD3A7A" w:rsidRPr="00CD3A7A" w:rsidTr="00504CB2">
        <w:trPr>
          <w:trHeight w:val="1699"/>
        </w:trPr>
        <w:tc>
          <w:tcPr>
            <w:tcW w:w="1913" w:type="dxa"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8. ÖĞRENME BİRİMİ: DOĞUM EYLEMİNDE EBEYE YARDIM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6AB" w:rsidRPr="00CD3A7A" w:rsidRDefault="002546AB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İş sağlığı ve güvenliği tedbirlerini alarak Doğum Eylemi Yönetim Rehberi doğrultusunda normal doğumda ebeye yardım eder.</w:t>
            </w:r>
          </w:p>
          <w:p w:rsidR="002546AB" w:rsidRPr="00CD3A7A" w:rsidRDefault="002546AB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İş sağlığı ve güvenliği tedbirlerini alarak </w:t>
            </w:r>
            <w:proofErr w:type="spellStart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yenidoğan</w:t>
            </w:r>
            <w:proofErr w:type="spellEnd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 bakım </w:t>
            </w:r>
            <w:proofErr w:type="gramStart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kriterleri</w:t>
            </w:r>
            <w:proofErr w:type="gramEnd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yenidoğan</w:t>
            </w:r>
            <w:proofErr w:type="spellEnd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 değerlendirme formuna uygun </w:t>
            </w:r>
            <w:proofErr w:type="spellStart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yenidoğanın</w:t>
            </w:r>
            <w:proofErr w:type="spellEnd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 değerlendirilmesi ve bakımında ebeye yardım eder.</w:t>
            </w:r>
          </w:p>
          <w:p w:rsidR="002546AB" w:rsidRPr="00CD3A7A" w:rsidRDefault="002546AB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Doğum sonrası oluşabilecek </w:t>
            </w:r>
            <w:proofErr w:type="gramStart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komplikasyonları</w:t>
            </w:r>
            <w:proofErr w:type="gramEnd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 ayırt eder.</w:t>
            </w:r>
          </w:p>
          <w:p w:rsidR="002546AB" w:rsidRPr="00CD3A7A" w:rsidRDefault="002546AB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CD3A7A" w:rsidRPr="00CD3A7A" w:rsidTr="00504CB2">
        <w:trPr>
          <w:trHeight w:val="1557"/>
        </w:trPr>
        <w:tc>
          <w:tcPr>
            <w:tcW w:w="1913" w:type="dxa"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9. ÖĞRENME BİRİMİ: DOĞUM SONRASI DÖNEMDE ANNE BAKIMI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6AB" w:rsidRPr="00CD3A7A" w:rsidRDefault="002546AB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1. İş sağlığı ve güvenliği tedbirlerini alarak Doğum Sonu Bakım Yönetim Rehberi’ne göre ebenin önerileri doğrultusunda lohusa bakımına yardımcı olur. 2. İş sağlığı ve güvenliği tedbirleri doğrultusunda WHO ve UNICEF’in </w:t>
            </w:r>
            <w:proofErr w:type="gramStart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kriterlerine</w:t>
            </w:r>
            <w:proofErr w:type="gramEnd"/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 xml:space="preserve"> göre, etkili iletişim tekniklerini kullanarak meme bakımı ve emzirmeye yardımcı olur.</w:t>
            </w:r>
          </w:p>
          <w:p w:rsidR="002546AB" w:rsidRPr="00CD3A7A" w:rsidRDefault="002546AB" w:rsidP="00CD3A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</w:tcPr>
          <w:p w:rsidR="002546AB" w:rsidRPr="00CD3A7A" w:rsidRDefault="002546AB" w:rsidP="00CD3A7A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3A7A">
              <w:rPr>
                <w:rFonts w:cstheme="minorHAnsi"/>
                <w:color w:val="000000" w:themeColor="text1"/>
                <w:sz w:val="20"/>
                <w:szCs w:val="20"/>
              </w:rPr>
              <w:t>…</w:t>
            </w:r>
          </w:p>
        </w:tc>
      </w:tr>
    </w:tbl>
    <w:p w:rsidR="00D54ADE" w:rsidRPr="00CD3A7A" w:rsidRDefault="00D54ADE" w:rsidP="00CD3A7A">
      <w:pPr>
        <w:spacing w:before="120" w:after="120"/>
        <w:rPr>
          <w:rFonts w:cstheme="minorHAnsi"/>
          <w:color w:val="000000" w:themeColor="text1"/>
          <w:sz w:val="20"/>
          <w:szCs w:val="20"/>
        </w:rPr>
      </w:pPr>
    </w:p>
    <w:p w:rsidR="00B41696" w:rsidRPr="00CD3A7A" w:rsidRDefault="00D54ADE" w:rsidP="00CD3A7A">
      <w:pPr>
        <w:spacing w:before="120" w:after="120"/>
        <w:rPr>
          <w:rFonts w:cstheme="minorHAnsi"/>
          <w:color w:val="000000" w:themeColor="text1"/>
          <w:sz w:val="20"/>
          <w:szCs w:val="20"/>
        </w:rPr>
      </w:pPr>
      <w:r w:rsidRPr="00CD3A7A">
        <w:rPr>
          <w:rFonts w:cstheme="minorHAnsi"/>
          <w:color w:val="000000" w:themeColor="text1"/>
          <w:sz w:val="20"/>
          <w:szCs w:val="20"/>
        </w:rPr>
        <w:t xml:space="preserve">Sağlık </w:t>
      </w:r>
      <w:proofErr w:type="spellStart"/>
      <w:r w:rsidRPr="00CD3A7A">
        <w:rPr>
          <w:rFonts w:cstheme="minorHAnsi"/>
          <w:color w:val="000000" w:themeColor="text1"/>
          <w:sz w:val="20"/>
          <w:szCs w:val="20"/>
        </w:rPr>
        <w:t>Hizm</w:t>
      </w:r>
      <w:proofErr w:type="spellEnd"/>
      <w:r w:rsidRPr="00CD3A7A">
        <w:rPr>
          <w:rFonts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CD3A7A">
        <w:rPr>
          <w:rFonts w:cstheme="minorHAnsi"/>
          <w:color w:val="000000" w:themeColor="text1"/>
          <w:sz w:val="20"/>
          <w:szCs w:val="20"/>
        </w:rPr>
        <w:t>Öğrt</w:t>
      </w:r>
      <w:proofErr w:type="spellEnd"/>
      <w:r w:rsidRPr="00CD3A7A">
        <w:rPr>
          <w:rFonts w:cstheme="minorHAnsi"/>
          <w:color w:val="000000" w:themeColor="text1"/>
          <w:sz w:val="20"/>
          <w:szCs w:val="20"/>
        </w:rPr>
        <w:t>.</w:t>
      </w:r>
    </w:p>
    <w:p w:rsidR="002546AB" w:rsidRPr="00CD3A7A" w:rsidRDefault="002546AB" w:rsidP="00CD3A7A">
      <w:pPr>
        <w:spacing w:before="120" w:after="120"/>
        <w:rPr>
          <w:rFonts w:cstheme="minorHAnsi"/>
          <w:color w:val="000000" w:themeColor="text1"/>
          <w:sz w:val="20"/>
          <w:szCs w:val="20"/>
        </w:rPr>
      </w:pPr>
      <w:r w:rsidRPr="00CD3A7A">
        <w:rPr>
          <w:rFonts w:cstheme="minorHAnsi"/>
          <w:color w:val="000000" w:themeColor="text1"/>
          <w:sz w:val="20"/>
          <w:szCs w:val="20"/>
        </w:rPr>
        <w:t>Belgin GÜLŞEN</w:t>
      </w:r>
    </w:p>
    <w:sectPr w:rsidR="002546AB" w:rsidRPr="00CD3A7A" w:rsidSect="006916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4C4E"/>
    <w:multiLevelType w:val="hybridMultilevel"/>
    <w:tmpl w:val="0A7CA3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91DD2"/>
    <w:multiLevelType w:val="hybridMultilevel"/>
    <w:tmpl w:val="8A8495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C83123"/>
    <w:multiLevelType w:val="hybridMultilevel"/>
    <w:tmpl w:val="B32AE8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AA7AA7"/>
    <w:multiLevelType w:val="hybridMultilevel"/>
    <w:tmpl w:val="55646A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78165C"/>
    <w:multiLevelType w:val="hybridMultilevel"/>
    <w:tmpl w:val="CA4A3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17A28"/>
    <w:multiLevelType w:val="hybridMultilevel"/>
    <w:tmpl w:val="38C2D4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597471"/>
    <w:multiLevelType w:val="hybridMultilevel"/>
    <w:tmpl w:val="B17206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DE4CCA"/>
    <w:multiLevelType w:val="hybridMultilevel"/>
    <w:tmpl w:val="6A269B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97520D"/>
    <w:multiLevelType w:val="hybridMultilevel"/>
    <w:tmpl w:val="B85421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AC7C6B"/>
    <w:multiLevelType w:val="hybridMultilevel"/>
    <w:tmpl w:val="B66E1C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FD1168"/>
    <w:multiLevelType w:val="hybridMultilevel"/>
    <w:tmpl w:val="E9F85E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0809"/>
    <w:multiLevelType w:val="hybridMultilevel"/>
    <w:tmpl w:val="D4B0F9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076D22"/>
    <w:multiLevelType w:val="hybridMultilevel"/>
    <w:tmpl w:val="70782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05345"/>
    <w:multiLevelType w:val="hybridMultilevel"/>
    <w:tmpl w:val="813A12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551195"/>
    <w:multiLevelType w:val="hybridMultilevel"/>
    <w:tmpl w:val="5894B4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35"/>
    <w:rsid w:val="00107F42"/>
    <w:rsid w:val="00133A62"/>
    <w:rsid w:val="002546AB"/>
    <w:rsid w:val="00322A68"/>
    <w:rsid w:val="00504CB2"/>
    <w:rsid w:val="005916E2"/>
    <w:rsid w:val="006756C9"/>
    <w:rsid w:val="006916C2"/>
    <w:rsid w:val="00966791"/>
    <w:rsid w:val="00A84304"/>
    <w:rsid w:val="00AC08ED"/>
    <w:rsid w:val="00B41696"/>
    <w:rsid w:val="00C83A35"/>
    <w:rsid w:val="00CD3A7A"/>
    <w:rsid w:val="00D54ADE"/>
    <w:rsid w:val="00D95AEE"/>
    <w:rsid w:val="00E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48473-FD90-490E-8037-63963263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A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3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83A35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C83A35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83A35"/>
    <w:rPr>
      <w:rFonts w:ascii="Times New Roman" w:eastAsia="Times New Roman" w:hAnsi="Times New Roman" w:cs="Times New Roman"/>
      <w:b/>
      <w:position w:val="-1"/>
      <w:sz w:val="72"/>
      <w:szCs w:val="7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 BÜYÜKÇOLAK</dc:creator>
  <cp:lastModifiedBy>Microsoft hesabı</cp:lastModifiedBy>
  <cp:revision>9</cp:revision>
  <dcterms:created xsi:type="dcterms:W3CDTF">2023-10-22T14:37:00Z</dcterms:created>
  <dcterms:modified xsi:type="dcterms:W3CDTF">2023-10-22T16:43:00Z</dcterms:modified>
</cp:coreProperties>
</file>